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F8F8" w14:textId="77777777" w:rsidR="002034AF" w:rsidRDefault="008907BD" w:rsidP="002034AF">
      <w:pPr>
        <w:jc w:val="both"/>
        <w:rPr>
          <w:snapToGrid w:val="0"/>
        </w:rPr>
      </w:pPr>
      <w:r>
        <w:rPr>
          <w:snapToGrid w:val="0"/>
        </w:rPr>
        <w:t xml:space="preserve">PL 99-661 permits state courts to order SBP coverage. </w:t>
      </w:r>
    </w:p>
    <w:p w14:paraId="0C713F01" w14:textId="77777777" w:rsidR="002034AF" w:rsidRDefault="002034AF">
      <w:pPr>
        <w:ind w:firstLine="360"/>
        <w:jc w:val="both"/>
        <w:rPr>
          <w:snapToGrid w:val="0"/>
        </w:rPr>
      </w:pPr>
    </w:p>
    <w:p w14:paraId="6F8AB50B" w14:textId="77777777" w:rsidR="00033246" w:rsidRDefault="00033246">
      <w:pPr>
        <w:ind w:firstLine="360"/>
        <w:jc w:val="both"/>
        <w:rPr>
          <w:snapToGrid w:val="0"/>
        </w:rPr>
      </w:pPr>
      <w:r>
        <w:rPr>
          <w:snapToGrid w:val="0"/>
        </w:rPr>
        <w:t xml:space="preserve">If a member voluntarily elects SBP coverage for a former spouse and the agreement has been ratified or approved by a court order, or if the member has been ordered to elect SBP coverage for a former spouse, the retired member must make that election within </w:t>
      </w:r>
      <w:r>
        <w:rPr>
          <w:b/>
          <w:bCs/>
          <w:snapToGrid w:val="0"/>
        </w:rPr>
        <w:t>one year of the date of the divorce</w:t>
      </w:r>
      <w:r w:rsidR="002034AF">
        <w:rPr>
          <w:snapToGrid w:val="0"/>
        </w:rPr>
        <w:t xml:space="preserve">. </w:t>
      </w:r>
      <w:r>
        <w:rPr>
          <w:snapToGrid w:val="0"/>
        </w:rPr>
        <w:t>A former spouse, within one year of the date of divorce</w:t>
      </w:r>
      <w:r w:rsidR="008907BD">
        <w:rPr>
          <w:snapToGrid w:val="0"/>
        </w:rPr>
        <w:t>,</w:t>
      </w:r>
      <w:r>
        <w:rPr>
          <w:snapToGrid w:val="0"/>
        </w:rPr>
        <w:t xml:space="preserve"> may submit to DFAS-CL a request that a "deemed" SBP election be established. If neither the retiree nor the former spouse requests former-spouse SBP coverage within one year of date of divorce, former-spouse coverage will not be established. </w:t>
      </w:r>
    </w:p>
    <w:p w14:paraId="3750633A" w14:textId="77777777" w:rsidR="00033246" w:rsidRDefault="00033246">
      <w:pPr>
        <w:jc w:val="both"/>
        <w:rPr>
          <w:snapToGrid w:val="0"/>
        </w:rPr>
      </w:pPr>
    </w:p>
    <w:p w14:paraId="21FB8835" w14:textId="77777777" w:rsidR="00033246" w:rsidRDefault="00033246">
      <w:pPr>
        <w:ind w:firstLine="360"/>
        <w:jc w:val="both"/>
        <w:rPr>
          <w:snapToGrid w:val="0"/>
        </w:rPr>
      </w:pPr>
      <w:r>
        <w:rPr>
          <w:snapToGrid w:val="0"/>
        </w:rPr>
        <w:t xml:space="preserve">A retired member cannot voluntarily elect, nor can a court order, former-spouse SBP coverage if the retired member had not elected SBP spouse coverage at time of retirement. </w:t>
      </w:r>
    </w:p>
    <w:p w14:paraId="49A50E74" w14:textId="77777777" w:rsidR="00033246" w:rsidRDefault="00033246">
      <w:pPr>
        <w:jc w:val="both"/>
        <w:rPr>
          <w:snapToGrid w:val="0"/>
        </w:rPr>
      </w:pPr>
    </w:p>
    <w:p w14:paraId="5C2850A1" w14:textId="77777777" w:rsidR="00033246" w:rsidRPr="002034AF" w:rsidRDefault="00033246" w:rsidP="002034AF">
      <w:pPr>
        <w:widowControl w:val="0"/>
        <w:ind w:firstLine="360"/>
        <w:jc w:val="both"/>
        <w:rPr>
          <w:snapToGrid w:val="0"/>
        </w:rPr>
      </w:pPr>
      <w:r>
        <w:rPr>
          <w:snapToGrid w:val="0"/>
        </w:rPr>
        <w:t>Former-spouse SBP cove</w:t>
      </w:r>
      <w:r w:rsidR="002034AF">
        <w:rPr>
          <w:snapToGrid w:val="0"/>
        </w:rPr>
        <w:t xml:space="preserve">rage is generally irrevocable. </w:t>
      </w:r>
      <w:r>
        <w:rPr>
          <w:snapToGrid w:val="0"/>
        </w:rPr>
        <w:t>However, if a retired member remarries, a change from the former spouse to current spouse coverage may be made with the fo</w:t>
      </w:r>
      <w:r w:rsidR="002034AF">
        <w:rPr>
          <w:snapToGrid w:val="0"/>
        </w:rPr>
        <w:t xml:space="preserve">rmer spouse's written consent. </w:t>
      </w:r>
      <w:r>
        <w:rPr>
          <w:snapToGrid w:val="0"/>
        </w:rPr>
        <w:t>Such a request must be submitted to DFAS</w:t>
      </w:r>
      <w:r w:rsidR="008907BD">
        <w:rPr>
          <w:snapToGrid w:val="0"/>
        </w:rPr>
        <w:t>-CL</w:t>
      </w:r>
      <w:r>
        <w:rPr>
          <w:snapToGrid w:val="0"/>
        </w:rPr>
        <w:t xml:space="preserve"> within one y</w:t>
      </w:r>
      <w:r w:rsidR="002034AF">
        <w:rPr>
          <w:snapToGrid w:val="0"/>
        </w:rPr>
        <w:t xml:space="preserve">ear of the remarriage. </w:t>
      </w:r>
      <w:r>
        <w:rPr>
          <w:snapToGrid w:val="0"/>
        </w:rPr>
        <w:t>If the former spouse SBP coverage was ratified or approved by a court order, the court o</w:t>
      </w:r>
      <w:r w:rsidR="002034AF">
        <w:rPr>
          <w:snapToGrid w:val="0"/>
        </w:rPr>
        <w:t xml:space="preserve">rder must be amended within one </w:t>
      </w:r>
      <w:r>
        <w:rPr>
          <w:snapToGrid w:val="0"/>
        </w:rPr>
        <w:t>year.</w:t>
      </w:r>
    </w:p>
    <w:p w14:paraId="11AA1E30" w14:textId="77777777" w:rsidR="00C71C39" w:rsidRPr="00C71C39" w:rsidRDefault="00033246" w:rsidP="00C71C39">
      <w:pPr>
        <w:jc w:val="center"/>
        <w:rPr>
          <w:b/>
        </w:rPr>
      </w:pPr>
      <w:r>
        <w:br w:type="column"/>
      </w:r>
      <w:r w:rsidR="00C71C39" w:rsidRPr="00C71C39">
        <w:rPr>
          <w:b/>
        </w:rPr>
        <w:t>Legal Assistance</w:t>
      </w:r>
    </w:p>
    <w:p w14:paraId="3D8649DA" w14:textId="191A8703" w:rsidR="00C71C39" w:rsidRPr="00C71C39" w:rsidRDefault="00C71C39" w:rsidP="00C71C39">
      <w:pPr>
        <w:jc w:val="center"/>
      </w:pPr>
      <w:r w:rsidRPr="00C71C39">
        <w:t>By Appointment Only</w:t>
      </w:r>
    </w:p>
    <w:p w14:paraId="63CC14F9" w14:textId="77777777" w:rsidR="00C71C39" w:rsidRPr="00C71C39" w:rsidRDefault="00C71C39" w:rsidP="00C71C39">
      <w:pPr>
        <w:jc w:val="center"/>
      </w:pPr>
    </w:p>
    <w:p w14:paraId="274D7A10" w14:textId="77777777" w:rsidR="00C71C39" w:rsidRPr="00C71C39" w:rsidRDefault="00C71C39" w:rsidP="00C71C39">
      <w:pPr>
        <w:jc w:val="center"/>
        <w:rPr>
          <w:b/>
        </w:rPr>
      </w:pPr>
      <w:r w:rsidRPr="00C71C39">
        <w:rPr>
          <w:b/>
        </w:rPr>
        <w:t>Will Appointments</w:t>
      </w:r>
    </w:p>
    <w:p w14:paraId="625076FA" w14:textId="53AFBF28" w:rsidR="00C71C39" w:rsidRPr="00C71C39" w:rsidRDefault="00C71C39" w:rsidP="00C71C39">
      <w:pPr>
        <w:jc w:val="center"/>
        <w:rPr>
          <w:b/>
          <w:sz w:val="20"/>
        </w:rPr>
      </w:pPr>
      <w:r w:rsidRPr="00C71C39">
        <w:rPr>
          <w:b/>
          <w:sz w:val="20"/>
        </w:rPr>
        <w:t>Please</w:t>
      </w:r>
      <w:r w:rsidR="00676259">
        <w:rPr>
          <w:b/>
          <w:sz w:val="20"/>
        </w:rPr>
        <w:t xml:space="preserve"> call to</w:t>
      </w:r>
      <w:r w:rsidRPr="00C71C39">
        <w:rPr>
          <w:b/>
          <w:sz w:val="20"/>
        </w:rPr>
        <w:t xml:space="preserve"> complete Will worksheet BEFORE you make a will appointment!</w:t>
      </w:r>
    </w:p>
    <w:p w14:paraId="43F13361" w14:textId="63237B62" w:rsidR="00C71C39" w:rsidRPr="00C71C39" w:rsidRDefault="00C71C39" w:rsidP="00C71C39">
      <w:pPr>
        <w:jc w:val="center"/>
      </w:pPr>
      <w:r w:rsidRPr="00C71C39">
        <w:t>By Appointment Only</w:t>
      </w:r>
    </w:p>
    <w:p w14:paraId="174CF2EC" w14:textId="77777777" w:rsidR="00C71C39" w:rsidRPr="00C71C39" w:rsidRDefault="00C71C39" w:rsidP="00C71C39">
      <w:pPr>
        <w:jc w:val="center"/>
      </w:pPr>
      <w:r w:rsidRPr="00C71C39">
        <w:t> </w:t>
      </w:r>
    </w:p>
    <w:p w14:paraId="7296B0A1" w14:textId="77777777" w:rsidR="00241340" w:rsidRPr="00EC5AC7" w:rsidRDefault="00241340" w:rsidP="00241340">
      <w:pPr>
        <w:jc w:val="center"/>
        <w:rPr>
          <w:b/>
          <w:smallCaps/>
          <w:sz w:val="36"/>
        </w:rPr>
      </w:pPr>
      <w:bookmarkStart w:id="0" w:name="_Hlk205801620"/>
      <w:r w:rsidRPr="00EC5AC7">
        <w:rPr>
          <w:b/>
        </w:rPr>
        <w:t>Powers of Attorney/Notaries</w:t>
      </w:r>
    </w:p>
    <w:p w14:paraId="1A02F9C4" w14:textId="77777777" w:rsidR="00241340" w:rsidRDefault="00241340" w:rsidP="00241340">
      <w:pPr>
        <w:snapToGrid w:val="0"/>
        <w:spacing w:line="240" w:lineRule="atLeast"/>
        <w:jc w:val="center"/>
      </w:pPr>
      <w:r w:rsidRPr="00EC5AC7">
        <w:t>Mon-</w:t>
      </w:r>
      <w:proofErr w:type="spellStart"/>
      <w:r>
        <w:t>Thur</w:t>
      </w:r>
      <w:proofErr w:type="spellEnd"/>
      <w:r w:rsidRPr="00EC5AC7">
        <w:t xml:space="preserve"> </w:t>
      </w:r>
      <w:r>
        <w:t>0900-1600</w:t>
      </w:r>
    </w:p>
    <w:p w14:paraId="7F348F9E" w14:textId="77777777" w:rsidR="00241340" w:rsidRDefault="00241340" w:rsidP="00241340">
      <w:pPr>
        <w:snapToGrid w:val="0"/>
        <w:spacing w:line="240" w:lineRule="atLeast"/>
        <w:jc w:val="center"/>
      </w:pPr>
      <w:r>
        <w:t>Fri 0900-1400</w:t>
      </w:r>
    </w:p>
    <w:p w14:paraId="1E76A22D" w14:textId="77777777" w:rsidR="00241340" w:rsidRDefault="00241340" w:rsidP="00241340">
      <w:pPr>
        <w:snapToGrid w:val="0"/>
        <w:spacing w:line="240" w:lineRule="atLeast"/>
        <w:jc w:val="center"/>
      </w:pPr>
      <w:r>
        <w:t>Closed every second Friday</w:t>
      </w:r>
    </w:p>
    <w:bookmarkEnd w:id="0"/>
    <w:p w14:paraId="5D561957" w14:textId="77777777" w:rsidR="00C71C39" w:rsidRPr="00C71C39" w:rsidRDefault="00C71C39" w:rsidP="00C71C39">
      <w:pPr>
        <w:snapToGrid w:val="0"/>
        <w:jc w:val="center"/>
      </w:pPr>
    </w:p>
    <w:p w14:paraId="4B170A0D" w14:textId="1262EE65" w:rsidR="00C71C39" w:rsidRPr="00C71C39" w:rsidRDefault="00C71C39" w:rsidP="00C71C39">
      <w:pPr>
        <w:snapToGrid w:val="0"/>
        <w:jc w:val="center"/>
      </w:pPr>
      <w:r w:rsidRPr="00C71C39">
        <w:t xml:space="preserve">You can complete power of attorney and read information at </w:t>
      </w:r>
      <w:r w:rsidRPr="00C71C39">
        <w:rPr>
          <w:b/>
          <w:u w:val="single"/>
        </w:rPr>
        <w:t>https://aflegalassistance.law.af.mil</w:t>
      </w:r>
    </w:p>
    <w:p w14:paraId="4DE980B2" w14:textId="77777777" w:rsidR="00C71C39" w:rsidRPr="00C71C39" w:rsidRDefault="00C71C39" w:rsidP="00C71C39">
      <w:pPr>
        <w:snapToGrid w:val="0"/>
        <w:jc w:val="center"/>
      </w:pPr>
    </w:p>
    <w:p w14:paraId="11FAFCB1" w14:textId="77777777" w:rsidR="00C71C39" w:rsidRPr="00C71C39" w:rsidRDefault="00C71C39" w:rsidP="00C71C39"/>
    <w:p w14:paraId="20417659" w14:textId="77777777" w:rsidR="00241340" w:rsidRPr="00EC5AC7" w:rsidRDefault="00241340" w:rsidP="00241340">
      <w:pPr>
        <w:jc w:val="center"/>
        <w:rPr>
          <w:sz w:val="28"/>
        </w:rPr>
      </w:pPr>
      <w:bookmarkStart w:id="1" w:name="_Hlk205801615"/>
      <w:r>
        <w:rPr>
          <w:sz w:val="28"/>
        </w:rPr>
        <w:t>5</w:t>
      </w:r>
      <w:r w:rsidRPr="00EC5AC7">
        <w:rPr>
          <w:sz w:val="28"/>
        </w:rPr>
        <w:t>1 FW/JA</w:t>
      </w:r>
    </w:p>
    <w:p w14:paraId="0A660389" w14:textId="77777777" w:rsidR="00241340" w:rsidRPr="00EC5AC7" w:rsidRDefault="00241340" w:rsidP="00241340">
      <w:pPr>
        <w:jc w:val="center"/>
        <w:rPr>
          <w:sz w:val="28"/>
        </w:rPr>
      </w:pPr>
      <w:r>
        <w:rPr>
          <w:sz w:val="28"/>
        </w:rPr>
        <w:t>OPC 3 BOX 2067</w:t>
      </w:r>
    </w:p>
    <w:p w14:paraId="06A25206" w14:textId="77777777" w:rsidR="00241340" w:rsidRPr="00EC5AC7" w:rsidRDefault="00241340" w:rsidP="00241340">
      <w:pPr>
        <w:jc w:val="center"/>
        <w:rPr>
          <w:sz w:val="28"/>
        </w:rPr>
      </w:pPr>
      <w:r>
        <w:rPr>
          <w:sz w:val="28"/>
        </w:rPr>
        <w:t>APO AP 96266-2067</w:t>
      </w:r>
    </w:p>
    <w:p w14:paraId="1C316CF3" w14:textId="77777777" w:rsidR="00241340" w:rsidRPr="00EC5AC7" w:rsidRDefault="00241340" w:rsidP="00241340">
      <w:pPr>
        <w:jc w:val="center"/>
        <w:rPr>
          <w:sz w:val="28"/>
        </w:rPr>
      </w:pPr>
      <w:r w:rsidRPr="00EC5AC7">
        <w:rPr>
          <w:sz w:val="28"/>
        </w:rPr>
        <w:t xml:space="preserve">Building </w:t>
      </w:r>
      <w:r>
        <w:rPr>
          <w:sz w:val="28"/>
        </w:rPr>
        <w:t>938</w:t>
      </w:r>
      <w:r w:rsidRPr="00EC5AC7">
        <w:rPr>
          <w:sz w:val="28"/>
        </w:rPr>
        <w:t xml:space="preserve">, </w:t>
      </w:r>
      <w:r>
        <w:rPr>
          <w:sz w:val="28"/>
        </w:rPr>
        <w:t>Osan</w:t>
      </w:r>
      <w:r w:rsidRPr="00EC5AC7">
        <w:rPr>
          <w:sz w:val="28"/>
        </w:rPr>
        <w:t xml:space="preserve"> AB</w:t>
      </w:r>
    </w:p>
    <w:p w14:paraId="2F2D65AB" w14:textId="77777777" w:rsidR="00241340" w:rsidRPr="00EC5AC7" w:rsidRDefault="00241340" w:rsidP="00241340">
      <w:pPr>
        <w:jc w:val="center"/>
        <w:rPr>
          <w:sz w:val="28"/>
        </w:rPr>
      </w:pPr>
      <w:r>
        <w:rPr>
          <w:sz w:val="28"/>
        </w:rPr>
        <w:t>DSN 784-4131 or commercial 0505-784-4131</w:t>
      </w:r>
    </w:p>
    <w:bookmarkEnd w:id="1"/>
    <w:p w14:paraId="4B040836" w14:textId="77777777" w:rsidR="00C71C39" w:rsidRPr="00C71C39" w:rsidRDefault="00C71C39" w:rsidP="00C71C39">
      <w:pPr>
        <w:jc w:val="center"/>
        <w:rPr>
          <w:sz w:val="28"/>
        </w:rPr>
      </w:pPr>
    </w:p>
    <w:p w14:paraId="74BBDBC7" w14:textId="77777777" w:rsidR="00063697" w:rsidRDefault="00063697" w:rsidP="00C71C39">
      <w:pPr>
        <w:jc w:val="center"/>
        <w:rPr>
          <w:b/>
          <w:smallCaps/>
          <w:sz w:val="40"/>
        </w:rPr>
      </w:pPr>
    </w:p>
    <w:p w14:paraId="65EB4B2A" w14:textId="77777777" w:rsidR="009211BE" w:rsidRDefault="009211BE" w:rsidP="00C71C39">
      <w:pPr>
        <w:jc w:val="center"/>
        <w:rPr>
          <w:b/>
          <w:smallCaps/>
          <w:sz w:val="40"/>
        </w:rPr>
      </w:pPr>
    </w:p>
    <w:p w14:paraId="0EAF7D6D" w14:textId="77777777" w:rsidR="009211BE" w:rsidRDefault="009211BE" w:rsidP="00C71C39">
      <w:pPr>
        <w:jc w:val="center"/>
        <w:rPr>
          <w:b/>
          <w:smallCaps/>
          <w:sz w:val="40"/>
        </w:rPr>
      </w:pPr>
    </w:p>
    <w:p w14:paraId="7D6B790A" w14:textId="77777777" w:rsidR="00C71C39" w:rsidRDefault="00C71C39" w:rsidP="00063697">
      <w:pPr>
        <w:jc w:val="center"/>
        <w:rPr>
          <w:b/>
          <w:smallCaps/>
          <w:sz w:val="40"/>
        </w:rPr>
      </w:pPr>
    </w:p>
    <w:p w14:paraId="1F0F688D" w14:textId="77777777" w:rsidR="006A22A5" w:rsidRDefault="006A22A5" w:rsidP="00063697">
      <w:pPr>
        <w:jc w:val="center"/>
        <w:rPr>
          <w:b/>
          <w:smallCaps/>
          <w:sz w:val="40"/>
        </w:rPr>
      </w:pPr>
    </w:p>
    <w:p w14:paraId="2D2A9CB3" w14:textId="77777777" w:rsidR="006A22A5" w:rsidRDefault="006A22A5" w:rsidP="00063697">
      <w:pPr>
        <w:jc w:val="center"/>
        <w:rPr>
          <w:b/>
          <w:smallCaps/>
          <w:sz w:val="40"/>
        </w:rPr>
      </w:pPr>
    </w:p>
    <w:p w14:paraId="56CA50B3" w14:textId="77777777" w:rsidR="006A22A5" w:rsidRDefault="006A22A5" w:rsidP="00063697">
      <w:pPr>
        <w:jc w:val="center"/>
        <w:rPr>
          <w:b/>
          <w:smallCaps/>
          <w:sz w:val="40"/>
        </w:rPr>
      </w:pPr>
    </w:p>
    <w:p w14:paraId="0F0E46C0" w14:textId="77777777" w:rsidR="00241340" w:rsidRDefault="00241340" w:rsidP="00063697">
      <w:pPr>
        <w:jc w:val="center"/>
        <w:rPr>
          <w:b/>
          <w:smallCaps/>
          <w:sz w:val="40"/>
        </w:rPr>
      </w:pPr>
    </w:p>
    <w:p w14:paraId="2A86BC6B" w14:textId="493B9D4C" w:rsidR="00033246" w:rsidRDefault="00033246" w:rsidP="00063697">
      <w:pPr>
        <w:jc w:val="center"/>
        <w:rPr>
          <w:b/>
          <w:smallCaps/>
          <w:sz w:val="40"/>
        </w:rPr>
      </w:pPr>
      <w:r>
        <w:rPr>
          <w:b/>
          <w:smallCaps/>
          <w:sz w:val="40"/>
        </w:rPr>
        <w:t xml:space="preserve">UNIFORMED SERVICES </w:t>
      </w:r>
    </w:p>
    <w:p w14:paraId="0DF7231A" w14:textId="77777777" w:rsidR="00033246" w:rsidRDefault="00033246">
      <w:pPr>
        <w:jc w:val="center"/>
        <w:rPr>
          <w:b/>
          <w:smallCaps/>
          <w:sz w:val="40"/>
        </w:rPr>
      </w:pPr>
      <w:r>
        <w:rPr>
          <w:b/>
          <w:smallCaps/>
          <w:sz w:val="40"/>
        </w:rPr>
        <w:t>FORMER SPOUSES PROTECTION ACT</w:t>
      </w:r>
    </w:p>
    <w:p w14:paraId="5D0A41D5" w14:textId="77777777" w:rsidR="00033246" w:rsidRDefault="00033246">
      <w:pPr>
        <w:jc w:val="center"/>
        <w:rPr>
          <w:b/>
          <w:smallCaps/>
          <w:sz w:val="40"/>
        </w:rPr>
      </w:pPr>
      <w:r>
        <w:rPr>
          <w:b/>
          <w:smallCaps/>
          <w:sz w:val="40"/>
        </w:rPr>
        <w:t>(USFSPA)</w:t>
      </w:r>
    </w:p>
    <w:p w14:paraId="6D8C7AB8" w14:textId="77777777" w:rsidR="006A22A5" w:rsidRDefault="006A22A5">
      <w:pPr>
        <w:jc w:val="center"/>
        <w:rPr>
          <w:b/>
          <w:smallCaps/>
          <w:sz w:val="40"/>
        </w:rPr>
      </w:pPr>
    </w:p>
    <w:p w14:paraId="414CC5BA" w14:textId="77777777" w:rsidR="006A22A5" w:rsidRDefault="006A22A5">
      <w:pPr>
        <w:jc w:val="center"/>
        <w:rPr>
          <w:b/>
          <w:smallCaps/>
          <w:sz w:val="40"/>
        </w:rPr>
      </w:pPr>
    </w:p>
    <w:bookmarkStart w:id="2" w:name="_MON_1006577801"/>
    <w:bookmarkStart w:id="3" w:name="_MON_1006153952"/>
    <w:bookmarkEnd w:id="2"/>
    <w:bookmarkEnd w:id="3"/>
    <w:bookmarkStart w:id="4" w:name="_MON_1006577141"/>
    <w:bookmarkEnd w:id="4"/>
    <w:p w14:paraId="394A452A" w14:textId="77777777" w:rsidR="00033246" w:rsidRDefault="00033246">
      <w:pPr>
        <w:jc w:val="center"/>
      </w:pPr>
      <w:r>
        <w:object w:dxaOrig="1821" w:dyaOrig="1221" w14:anchorId="20B20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95pt;height:72.65pt" o:ole="" fillcolor="window">
            <v:imagedata r:id="rId7" o:title=""/>
          </v:shape>
          <o:OLEObject Type="Embed" ProgID="Word.Picture.8" ShapeID="_x0000_i1025" DrawAspect="Content" ObjectID="_1816416508" r:id="rId8"/>
        </w:object>
      </w:r>
    </w:p>
    <w:p w14:paraId="714C38DE" w14:textId="77777777" w:rsidR="00033246" w:rsidRPr="006A22A5" w:rsidRDefault="00033246" w:rsidP="006A22A5">
      <w:pPr>
        <w:jc w:val="center"/>
        <w:rPr>
          <w:b/>
          <w:smallCaps/>
          <w:sz w:val="40"/>
        </w:rPr>
      </w:pPr>
    </w:p>
    <w:p w14:paraId="142E89F9" w14:textId="77777777" w:rsidR="00033246" w:rsidRPr="006A22A5" w:rsidRDefault="00033246">
      <w:pPr>
        <w:jc w:val="center"/>
        <w:rPr>
          <w:b/>
          <w:smallCaps/>
          <w:sz w:val="40"/>
        </w:rPr>
      </w:pPr>
    </w:p>
    <w:p w14:paraId="418F4165" w14:textId="10679B28" w:rsidR="00241340" w:rsidRPr="00241340" w:rsidRDefault="00241340" w:rsidP="00241340">
      <w:pPr>
        <w:jc w:val="center"/>
        <w:rPr>
          <w:b/>
          <w:smallCaps/>
          <w:sz w:val="40"/>
          <w:szCs w:val="40"/>
        </w:rPr>
      </w:pPr>
      <w:r w:rsidRPr="00241340">
        <w:rPr>
          <w:b/>
          <w:smallCaps/>
          <w:sz w:val="40"/>
          <w:szCs w:val="40"/>
        </w:rPr>
        <w:t>51</w:t>
      </w:r>
      <w:r>
        <w:rPr>
          <w:b/>
          <w:smallCaps/>
          <w:sz w:val="40"/>
          <w:szCs w:val="40"/>
        </w:rPr>
        <w:t>st</w:t>
      </w:r>
      <w:r w:rsidRPr="00241340">
        <w:rPr>
          <w:b/>
          <w:smallCaps/>
          <w:sz w:val="40"/>
          <w:szCs w:val="40"/>
        </w:rPr>
        <w:t xml:space="preserve"> FIGHTER WING </w:t>
      </w:r>
    </w:p>
    <w:p w14:paraId="53934976" w14:textId="2FCC933D" w:rsidR="00033246" w:rsidRPr="00241340" w:rsidRDefault="00241340" w:rsidP="00241340">
      <w:pPr>
        <w:jc w:val="center"/>
        <w:rPr>
          <w:b/>
          <w:smallCaps/>
          <w:sz w:val="40"/>
          <w:szCs w:val="40"/>
        </w:rPr>
      </w:pPr>
      <w:r w:rsidRPr="00241340">
        <w:rPr>
          <w:b/>
          <w:smallCaps/>
          <w:sz w:val="40"/>
          <w:szCs w:val="40"/>
        </w:rPr>
        <w:t>LEGAL OFFICE</w:t>
      </w:r>
    </w:p>
    <w:p w14:paraId="547612A7" w14:textId="77777777" w:rsidR="00033246" w:rsidRPr="006A22A5" w:rsidRDefault="00033246">
      <w:pPr>
        <w:jc w:val="center"/>
        <w:rPr>
          <w:b/>
          <w:smallCaps/>
          <w:sz w:val="40"/>
        </w:rPr>
      </w:pPr>
    </w:p>
    <w:p w14:paraId="3D1983BB" w14:textId="77777777" w:rsidR="00241340" w:rsidRPr="00E44A40" w:rsidRDefault="00241340" w:rsidP="00241340">
      <w:pPr>
        <w:jc w:val="center"/>
        <w:rPr>
          <w:b/>
        </w:rPr>
      </w:pPr>
      <w:bookmarkStart w:id="5" w:name="_Hlk205803643"/>
      <w:r w:rsidRPr="00E44A40">
        <w:rPr>
          <w:b/>
          <w:sz w:val="20"/>
        </w:rPr>
        <w:t xml:space="preserve">Current as of </w:t>
      </w:r>
      <w:bookmarkStart w:id="6" w:name="_Hlk205801667"/>
      <w:bookmarkStart w:id="7" w:name="_Hlk205802689"/>
      <w:r>
        <w:rPr>
          <w:b/>
          <w:sz w:val="20"/>
        </w:rPr>
        <w:t>August 2025</w:t>
      </w:r>
      <w:bookmarkEnd w:id="6"/>
    </w:p>
    <w:bookmarkEnd w:id="5"/>
    <w:bookmarkEnd w:id="7"/>
    <w:p w14:paraId="7FD63DC4" w14:textId="77777777" w:rsidR="00033246" w:rsidRPr="006A22A5" w:rsidRDefault="00033246" w:rsidP="006A22A5">
      <w:pPr>
        <w:jc w:val="center"/>
        <w:rPr>
          <w:b/>
          <w:smallCaps/>
          <w:sz w:val="40"/>
        </w:rPr>
      </w:pPr>
    </w:p>
    <w:p w14:paraId="590C9584" w14:textId="77777777" w:rsidR="006A22A5" w:rsidRPr="006A22A5" w:rsidRDefault="006A22A5" w:rsidP="006A22A5">
      <w:pPr>
        <w:jc w:val="center"/>
        <w:rPr>
          <w:b/>
          <w:smallCaps/>
          <w:sz w:val="40"/>
        </w:rPr>
      </w:pPr>
    </w:p>
    <w:p w14:paraId="52D0D8F8" w14:textId="77777777" w:rsidR="00033246" w:rsidRDefault="00033246">
      <w:pPr>
        <w:rPr>
          <w:sz w:val="28"/>
        </w:rPr>
      </w:pPr>
    </w:p>
    <w:p w14:paraId="31209124" w14:textId="77777777" w:rsidR="00033246" w:rsidRDefault="00033246">
      <w:pPr>
        <w:jc w:val="center"/>
        <w:sectPr w:rsidR="00033246" w:rsidSect="008907BD">
          <w:pgSz w:w="15840" w:h="12240" w:orient="landscape" w:code="1"/>
          <w:pgMar w:top="1152" w:right="720" w:bottom="630" w:left="720" w:header="432" w:footer="432" w:gutter="0"/>
          <w:cols w:num="3" w:space="1260"/>
        </w:sectPr>
      </w:pPr>
    </w:p>
    <w:p w14:paraId="496CCCE6" w14:textId="77777777" w:rsidR="00033246" w:rsidRDefault="00033246">
      <w:pPr>
        <w:pStyle w:val="Title"/>
        <w:rPr>
          <w:sz w:val="32"/>
        </w:rPr>
      </w:pPr>
      <w:r>
        <w:rPr>
          <w:sz w:val="32"/>
        </w:rPr>
        <w:lastRenderedPageBreak/>
        <w:t>FORMER SPOUSES</w:t>
      </w:r>
      <w:r w:rsidR="008907BD">
        <w:rPr>
          <w:sz w:val="32"/>
        </w:rPr>
        <w:t>’</w:t>
      </w:r>
      <w:r>
        <w:rPr>
          <w:sz w:val="32"/>
        </w:rPr>
        <w:t xml:space="preserve"> BENEFITS</w:t>
      </w:r>
    </w:p>
    <w:p w14:paraId="6DFD5D95" w14:textId="77777777" w:rsidR="00033246" w:rsidRDefault="00033246">
      <w:pPr>
        <w:jc w:val="center"/>
        <w:rPr>
          <w:b/>
          <w:u w:val="single"/>
        </w:rPr>
      </w:pPr>
    </w:p>
    <w:p w14:paraId="2BFC08A7" w14:textId="77777777" w:rsidR="00033246" w:rsidRDefault="00033246">
      <w:pPr>
        <w:ind w:firstLine="360"/>
        <w:jc w:val="both"/>
        <w:rPr>
          <w:snapToGrid w:val="0"/>
        </w:rPr>
      </w:pPr>
      <w:r>
        <w:rPr>
          <w:snapToGrid w:val="0"/>
        </w:rPr>
        <w:t>The Uniform</w:t>
      </w:r>
      <w:r w:rsidR="008907BD">
        <w:rPr>
          <w:snapToGrid w:val="0"/>
        </w:rPr>
        <w:t>ed</w:t>
      </w:r>
      <w:r>
        <w:rPr>
          <w:snapToGrid w:val="0"/>
        </w:rPr>
        <w:t xml:space="preserve"> Services Former Spouse</w:t>
      </w:r>
      <w:r w:rsidR="008907BD">
        <w:rPr>
          <w:snapToGrid w:val="0"/>
        </w:rPr>
        <w:t>s’</w:t>
      </w:r>
      <w:r>
        <w:rPr>
          <w:snapToGrid w:val="0"/>
        </w:rPr>
        <w:t xml:space="preserve"> Protection Act (USFSPA) addresses the rights and entitlements of former spouses of military members, including:  medical benefits, retirement pay, Commissary and BX privileges, and the Survivor Benefit Plan (SBP).</w:t>
      </w:r>
    </w:p>
    <w:p w14:paraId="7EE4BB51" w14:textId="77777777" w:rsidR="00033246" w:rsidRDefault="00033246">
      <w:pPr>
        <w:ind w:firstLine="360"/>
        <w:jc w:val="both"/>
        <w:rPr>
          <w:snapToGrid w:val="0"/>
        </w:rPr>
      </w:pPr>
    </w:p>
    <w:p w14:paraId="27F30BA9" w14:textId="77777777" w:rsidR="00033246" w:rsidRDefault="00033246">
      <w:pPr>
        <w:jc w:val="center"/>
        <w:rPr>
          <w:i/>
          <w:smallCaps/>
          <w:snapToGrid w:val="0"/>
        </w:rPr>
      </w:pPr>
      <w:r>
        <w:rPr>
          <w:b/>
          <w:i/>
          <w:smallCaps/>
          <w:snapToGrid w:val="0"/>
        </w:rPr>
        <w:t>Medical Benefits</w:t>
      </w:r>
    </w:p>
    <w:p w14:paraId="32132857" w14:textId="77777777" w:rsidR="00033246" w:rsidRDefault="00033246">
      <w:pPr>
        <w:jc w:val="center"/>
        <w:rPr>
          <w:i/>
          <w:smallCaps/>
          <w:snapToGrid w:val="0"/>
        </w:rPr>
      </w:pPr>
    </w:p>
    <w:p w14:paraId="23FF5232" w14:textId="77777777" w:rsidR="00033246" w:rsidRDefault="00033246">
      <w:pPr>
        <w:ind w:firstLine="360"/>
        <w:jc w:val="both"/>
        <w:rPr>
          <w:snapToGrid w:val="0"/>
        </w:rPr>
      </w:pPr>
      <w:r>
        <w:rPr>
          <w:snapToGrid w:val="0"/>
        </w:rPr>
        <w:t>Eligibility is based on the length of marriage and the date of the divorce.</w:t>
      </w:r>
      <w:r w:rsidR="008907BD">
        <w:rPr>
          <w:snapToGrid w:val="0"/>
        </w:rPr>
        <w:t xml:space="preserve">  </w:t>
      </w:r>
      <w:r>
        <w:rPr>
          <w:snapToGrid w:val="0"/>
        </w:rPr>
        <w:t xml:space="preserve">For those divorced on or after 1 Apr 85, the member must have been married to the former spouse for at least 20 years during which time the member served at least 20 years on active duty.  If the member served only 15 years on active duty, medical benefits are extended for </w:t>
      </w:r>
      <w:r w:rsidR="008907BD">
        <w:rPr>
          <w:snapToGrid w:val="0"/>
        </w:rPr>
        <w:t>one</w:t>
      </w:r>
      <w:r>
        <w:rPr>
          <w:snapToGrid w:val="0"/>
        </w:rPr>
        <w:t xml:space="preserve"> year, with the option to participate in a group insurance with limited coverage for an additional year.  There is no coverage after </w:t>
      </w:r>
      <w:r w:rsidR="008907BD">
        <w:rPr>
          <w:snapToGrid w:val="0"/>
        </w:rPr>
        <w:t>two</w:t>
      </w:r>
      <w:r>
        <w:rPr>
          <w:snapToGrid w:val="0"/>
        </w:rPr>
        <w:t xml:space="preserve"> years.</w:t>
      </w:r>
      <w:r w:rsidR="008907BD">
        <w:rPr>
          <w:snapToGrid w:val="0"/>
        </w:rPr>
        <w:t xml:space="preserve">  </w:t>
      </w:r>
      <w:r>
        <w:rPr>
          <w:snapToGrid w:val="0"/>
        </w:rPr>
        <w:t>For those divorced before 1 Apr 85, the member must have been married to the former spouse for at least 20 years during which the member served at least 15 years on active duty.</w:t>
      </w:r>
    </w:p>
    <w:p w14:paraId="150111AC" w14:textId="77777777" w:rsidR="008907BD" w:rsidRDefault="008907BD">
      <w:pPr>
        <w:ind w:firstLine="360"/>
        <w:jc w:val="both"/>
        <w:rPr>
          <w:snapToGrid w:val="0"/>
        </w:rPr>
      </w:pPr>
    </w:p>
    <w:p w14:paraId="650FAE3A" w14:textId="77777777" w:rsidR="008907BD" w:rsidRDefault="008907BD">
      <w:pPr>
        <w:ind w:firstLine="360"/>
        <w:jc w:val="both"/>
        <w:rPr>
          <w:snapToGrid w:val="0"/>
        </w:rPr>
      </w:pPr>
      <w:r>
        <w:rPr>
          <w:snapToGrid w:val="0"/>
        </w:rPr>
        <w:t xml:space="preserve">To receive continued medical benefits, the former spouse must not be remarried, or covered by an employer-sponsored health care plan. The termination of a subsequent marriage of former spouse does not revive these benefits, but an annulment will.  </w:t>
      </w:r>
    </w:p>
    <w:p w14:paraId="259BD07F" w14:textId="77777777" w:rsidR="00033246" w:rsidRDefault="00033246">
      <w:pPr>
        <w:ind w:firstLine="360"/>
        <w:jc w:val="both"/>
        <w:rPr>
          <w:snapToGrid w:val="0"/>
        </w:rPr>
      </w:pPr>
    </w:p>
    <w:p w14:paraId="659A616A" w14:textId="77777777" w:rsidR="00033246" w:rsidRDefault="00033246">
      <w:pPr>
        <w:jc w:val="center"/>
        <w:rPr>
          <w:snapToGrid w:val="0"/>
        </w:rPr>
      </w:pPr>
      <w:r>
        <w:rPr>
          <w:b/>
          <w:i/>
          <w:smallCaps/>
          <w:snapToGrid w:val="0"/>
        </w:rPr>
        <w:t>Retirement Pay</w:t>
      </w:r>
    </w:p>
    <w:p w14:paraId="6E981212" w14:textId="77777777" w:rsidR="00033246" w:rsidRDefault="00033246">
      <w:pPr>
        <w:jc w:val="both"/>
        <w:rPr>
          <w:snapToGrid w:val="0"/>
        </w:rPr>
      </w:pPr>
    </w:p>
    <w:p w14:paraId="5AFA3253" w14:textId="77777777" w:rsidR="00033246" w:rsidRDefault="00033246">
      <w:pPr>
        <w:ind w:firstLine="360"/>
        <w:jc w:val="both"/>
        <w:rPr>
          <w:snapToGrid w:val="0"/>
        </w:rPr>
      </w:pPr>
      <w:r>
        <w:rPr>
          <w:snapToGrid w:val="0"/>
        </w:rPr>
        <w:t>USFSPA authorizes state courts to divide military retirement pay in divorce decrees, if permitted by state law. The court must be in the military member’s state of legal residence, or the military member must consent to the court’s jurisdiction (“appearing” in a divorce court will give the court jurisdiction).</w:t>
      </w:r>
    </w:p>
    <w:p w14:paraId="4B6988AC" w14:textId="77777777" w:rsidR="00033246" w:rsidRDefault="00033246">
      <w:pPr>
        <w:jc w:val="both"/>
        <w:rPr>
          <w:snapToGrid w:val="0"/>
        </w:rPr>
      </w:pPr>
    </w:p>
    <w:p w14:paraId="2AAD0541" w14:textId="77777777" w:rsidR="00033246" w:rsidRDefault="00033246">
      <w:pPr>
        <w:ind w:firstLine="360"/>
        <w:jc w:val="both"/>
        <w:rPr>
          <w:snapToGrid w:val="0"/>
        </w:rPr>
      </w:pPr>
      <w:r>
        <w:rPr>
          <w:snapToGrid w:val="0"/>
          <w:u w:val="single"/>
        </w:rPr>
        <w:t>How much</w:t>
      </w:r>
      <w:r>
        <w:rPr>
          <w:snapToGrid w:val="0"/>
        </w:rPr>
        <w:t>?  State law dictates how much of the member’s retirement pay the former spouse is entitled to receive.  Normally, the former spouse may ask for that portion of the member’s “disposable retired pay” (DRP) earned during the active duty years of the marriage. DRP equals the total monthly retirement pay minus authorized deductions such as SBP premiums. The parties can voluntarily agree on any amount. The divorce decree must state the amount in dollars, or as a percentage of DRP.   NOTE: If divorced before 3 Feb 91, income taxes and SGLI premiums can also be deducted from DRP.</w:t>
      </w:r>
    </w:p>
    <w:p w14:paraId="4AAF4F20" w14:textId="77777777" w:rsidR="00033246" w:rsidRDefault="00033246">
      <w:pPr>
        <w:jc w:val="both"/>
        <w:rPr>
          <w:snapToGrid w:val="0"/>
        </w:rPr>
      </w:pPr>
    </w:p>
    <w:p w14:paraId="427B6786" w14:textId="77777777" w:rsidR="00033246" w:rsidRDefault="00033246">
      <w:pPr>
        <w:ind w:firstLine="360"/>
        <w:jc w:val="both"/>
        <w:rPr>
          <w:snapToGrid w:val="0"/>
        </w:rPr>
      </w:pPr>
      <w:r>
        <w:rPr>
          <w:snapToGrid w:val="0"/>
          <w:u w:val="single"/>
        </w:rPr>
        <w:t>Direct Payment of Retirement Pay to Former Spouse</w:t>
      </w:r>
      <w:r w:rsidR="008907BD">
        <w:rPr>
          <w:snapToGrid w:val="0"/>
        </w:rPr>
        <w:t xml:space="preserve">. </w:t>
      </w:r>
      <w:r>
        <w:rPr>
          <w:snapToGrid w:val="0"/>
        </w:rPr>
        <w:t xml:space="preserve">If eligible for the program, the former spouse can collect his or her portion of the member’s retirement pay directly from DFAS. To be eligible, the member and former spouse must have been married for at least 10 years, during which time the member served at least 10 years on active duty. DFAS will pay up to 1/2 of the </w:t>
      </w:r>
      <w:r>
        <w:rPr>
          <w:snapToGrid w:val="0"/>
        </w:rPr>
        <w:t>member’s DRP directly to the qualified former spouse. If the state court awards more, the former spouse must collect from the member. If there is more than one former spouse, DFAS will pay up to 65% of the member’s DRP on a first-come, first-served basis for multiple court orders. DFAS requires a written request for direct payment and a certifie</w:t>
      </w:r>
      <w:r w:rsidR="008907BD">
        <w:rPr>
          <w:snapToGrid w:val="0"/>
        </w:rPr>
        <w:t xml:space="preserve">d copy of the divorce decree.  </w:t>
      </w:r>
      <w:r>
        <w:rPr>
          <w:snapToGrid w:val="0"/>
        </w:rPr>
        <w:t xml:space="preserve">For Air Force members, send the application to </w:t>
      </w:r>
      <w:r w:rsidR="008907BD">
        <w:rPr>
          <w:snapToGrid w:val="0"/>
        </w:rPr>
        <w:t>DFAS, Cleveland DFAS-HGA/CL, P.O. Box 998002, Cleveland, OH 44199-8002, or fax to (877) 622-5930</w:t>
      </w:r>
      <w:r>
        <w:rPr>
          <w:snapToGrid w:val="0"/>
        </w:rPr>
        <w:t>. The former spouse need not wait until the member retires to submit the request.</w:t>
      </w:r>
    </w:p>
    <w:p w14:paraId="133F64E9" w14:textId="77777777" w:rsidR="00033246" w:rsidRDefault="00033246">
      <w:pPr>
        <w:jc w:val="both"/>
        <w:rPr>
          <w:snapToGrid w:val="0"/>
        </w:rPr>
      </w:pPr>
    </w:p>
    <w:p w14:paraId="020F0156" w14:textId="77777777" w:rsidR="00033246" w:rsidRDefault="00033246">
      <w:pPr>
        <w:jc w:val="center"/>
        <w:rPr>
          <w:b/>
          <w:i/>
          <w:smallCaps/>
          <w:snapToGrid w:val="0"/>
        </w:rPr>
      </w:pPr>
      <w:r>
        <w:rPr>
          <w:b/>
          <w:i/>
          <w:smallCaps/>
          <w:snapToGrid w:val="0"/>
        </w:rPr>
        <w:t>Commissary and BX Privileges</w:t>
      </w:r>
    </w:p>
    <w:p w14:paraId="14B2E6AF" w14:textId="77777777" w:rsidR="00033246" w:rsidRDefault="00033246">
      <w:pPr>
        <w:jc w:val="both"/>
        <w:rPr>
          <w:snapToGrid w:val="0"/>
        </w:rPr>
      </w:pPr>
    </w:p>
    <w:p w14:paraId="2E488206" w14:textId="77777777" w:rsidR="00033246" w:rsidRDefault="00033246">
      <w:pPr>
        <w:ind w:firstLine="360"/>
        <w:jc w:val="both"/>
        <w:rPr>
          <w:snapToGrid w:val="0"/>
        </w:rPr>
      </w:pPr>
      <w:r>
        <w:rPr>
          <w:snapToGrid w:val="0"/>
        </w:rPr>
        <w:t xml:space="preserve">A former spouse is eligible for Commissary and BX privileges so long as he or she is not remarried. Also, the former spouse must have been married to the member for at least 20 years during which the member served at least 20 years on active duty. Termination of the subsequent marriage will revive Commissary or BX privileges. </w:t>
      </w:r>
    </w:p>
    <w:p w14:paraId="2EB0DE5F" w14:textId="77777777" w:rsidR="00033246" w:rsidRDefault="00033246">
      <w:pPr>
        <w:jc w:val="both"/>
        <w:rPr>
          <w:snapToGrid w:val="0"/>
        </w:rPr>
      </w:pPr>
    </w:p>
    <w:p w14:paraId="524FB335" w14:textId="77777777" w:rsidR="00033246" w:rsidRDefault="00033246">
      <w:pPr>
        <w:jc w:val="center"/>
        <w:rPr>
          <w:i/>
          <w:smallCaps/>
          <w:snapToGrid w:val="0"/>
        </w:rPr>
      </w:pPr>
      <w:r>
        <w:rPr>
          <w:b/>
          <w:i/>
          <w:smallCaps/>
          <w:snapToGrid w:val="0"/>
        </w:rPr>
        <w:t>Survivor Benefit Plan (SBP)</w:t>
      </w:r>
    </w:p>
    <w:p w14:paraId="569AEA25" w14:textId="77777777" w:rsidR="00033246" w:rsidRDefault="00033246">
      <w:pPr>
        <w:jc w:val="both"/>
        <w:rPr>
          <w:snapToGrid w:val="0"/>
        </w:rPr>
      </w:pPr>
    </w:p>
    <w:p w14:paraId="10156AE1" w14:textId="77777777" w:rsidR="00033246" w:rsidRDefault="00033246">
      <w:pPr>
        <w:ind w:firstLine="360"/>
        <w:jc w:val="both"/>
      </w:pPr>
      <w:r>
        <w:rPr>
          <w:snapToGrid w:val="0"/>
        </w:rPr>
        <w:t xml:space="preserve">SBP is a government-subsidized annuity for designated survivors of deceased military retirees. For divorces finalized on or after November 14, 1986, </w:t>
      </w:r>
    </w:p>
    <w:sectPr w:rsidR="00033246">
      <w:footerReference w:type="default" r:id="rId9"/>
      <w:pgSz w:w="15840" w:h="12240" w:orient="landscape" w:code="1"/>
      <w:pgMar w:top="720" w:right="720" w:bottom="720" w:left="720" w:header="432" w:footer="432" w:gutter="0"/>
      <w:cols w:num="3" w: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8590" w14:textId="77777777" w:rsidR="00D2583A" w:rsidRDefault="00D2583A">
      <w:r>
        <w:separator/>
      </w:r>
    </w:p>
  </w:endnote>
  <w:endnote w:type="continuationSeparator" w:id="0">
    <w:p w14:paraId="4F64DF34" w14:textId="77777777" w:rsidR="00D2583A" w:rsidRDefault="00D2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F292" w14:textId="77777777" w:rsidR="00033246" w:rsidRDefault="00033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A728" w14:textId="77777777" w:rsidR="00D2583A" w:rsidRDefault="00D2583A">
      <w:r>
        <w:separator/>
      </w:r>
    </w:p>
  </w:footnote>
  <w:footnote w:type="continuationSeparator" w:id="0">
    <w:p w14:paraId="6983FA30" w14:textId="77777777" w:rsidR="00D2583A" w:rsidRDefault="00D25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82C"/>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1" w15:restartNumberingAfterBreak="0">
    <w:nsid w:val="1AF54F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9B72FA"/>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3" w15:restartNumberingAfterBreak="0">
    <w:nsid w:val="26153AA2"/>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4" w15:restartNumberingAfterBreak="0">
    <w:nsid w:val="27941440"/>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5" w15:restartNumberingAfterBreak="0">
    <w:nsid w:val="2E4127F7"/>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6" w15:restartNumberingAfterBreak="0">
    <w:nsid w:val="39105E6B"/>
    <w:multiLevelType w:val="singleLevel"/>
    <w:tmpl w:val="96D27630"/>
    <w:lvl w:ilvl="0">
      <w:start w:val="1"/>
      <w:numFmt w:val="bullet"/>
      <w:lvlText w:val=""/>
      <w:lvlJc w:val="left"/>
      <w:pPr>
        <w:tabs>
          <w:tab w:val="num" w:pos="360"/>
        </w:tabs>
        <w:ind w:left="144" w:hanging="144"/>
      </w:pPr>
      <w:rPr>
        <w:rFonts w:ascii="Symbol" w:hAnsi="Symbol" w:hint="default"/>
      </w:rPr>
    </w:lvl>
  </w:abstractNum>
  <w:abstractNum w:abstractNumId="7" w15:restartNumberingAfterBreak="0">
    <w:nsid w:val="3AF637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FC1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7166B5"/>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10" w15:restartNumberingAfterBreak="0">
    <w:nsid w:val="4CAC3879"/>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11" w15:restartNumberingAfterBreak="0">
    <w:nsid w:val="4DEE6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6803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5C3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4C066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BD45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0E32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F4754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0926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0D47C4"/>
    <w:multiLevelType w:val="singleLevel"/>
    <w:tmpl w:val="96D27630"/>
    <w:lvl w:ilvl="0">
      <w:start w:val="1"/>
      <w:numFmt w:val="bullet"/>
      <w:lvlText w:val=""/>
      <w:lvlJc w:val="left"/>
      <w:pPr>
        <w:tabs>
          <w:tab w:val="num" w:pos="360"/>
        </w:tabs>
        <w:ind w:left="144" w:hanging="144"/>
      </w:pPr>
      <w:rPr>
        <w:rFonts w:ascii="Symbol" w:hAnsi="Symbol" w:hint="default"/>
      </w:rPr>
    </w:lvl>
  </w:abstractNum>
  <w:num w:numId="1" w16cid:durableId="1475299216">
    <w:abstractNumId w:val="9"/>
  </w:num>
  <w:num w:numId="2" w16cid:durableId="672298289">
    <w:abstractNumId w:val="0"/>
  </w:num>
  <w:num w:numId="3" w16cid:durableId="886839541">
    <w:abstractNumId w:val="4"/>
  </w:num>
  <w:num w:numId="4" w16cid:durableId="294415803">
    <w:abstractNumId w:val="2"/>
  </w:num>
  <w:num w:numId="5" w16cid:durableId="17320412">
    <w:abstractNumId w:val="10"/>
  </w:num>
  <w:num w:numId="6" w16cid:durableId="1171020056">
    <w:abstractNumId w:val="5"/>
  </w:num>
  <w:num w:numId="7" w16cid:durableId="739056027">
    <w:abstractNumId w:val="3"/>
  </w:num>
  <w:num w:numId="8" w16cid:durableId="255285823">
    <w:abstractNumId w:val="15"/>
  </w:num>
  <w:num w:numId="9" w16cid:durableId="1816141446">
    <w:abstractNumId w:val="8"/>
  </w:num>
  <w:num w:numId="10" w16cid:durableId="874736662">
    <w:abstractNumId w:val="12"/>
  </w:num>
  <w:num w:numId="11" w16cid:durableId="1155031516">
    <w:abstractNumId w:val="14"/>
  </w:num>
  <w:num w:numId="12" w16cid:durableId="140773264">
    <w:abstractNumId w:val="1"/>
  </w:num>
  <w:num w:numId="13" w16cid:durableId="1023748990">
    <w:abstractNumId w:val="7"/>
  </w:num>
  <w:num w:numId="14" w16cid:durableId="1289359043">
    <w:abstractNumId w:val="18"/>
  </w:num>
  <w:num w:numId="15" w16cid:durableId="2109766341">
    <w:abstractNumId w:val="6"/>
  </w:num>
  <w:num w:numId="16" w16cid:durableId="466970107">
    <w:abstractNumId w:val="19"/>
  </w:num>
  <w:num w:numId="17" w16cid:durableId="352920255">
    <w:abstractNumId w:val="17"/>
  </w:num>
  <w:num w:numId="18" w16cid:durableId="856650819">
    <w:abstractNumId w:val="16"/>
  </w:num>
  <w:num w:numId="19" w16cid:durableId="252711297">
    <w:abstractNumId w:val="13"/>
  </w:num>
  <w:num w:numId="20" w16cid:durableId="6792842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36"/>
    <w:rsid w:val="00033246"/>
    <w:rsid w:val="000574E1"/>
    <w:rsid w:val="00063697"/>
    <w:rsid w:val="00097DCF"/>
    <w:rsid w:val="000A2EE9"/>
    <w:rsid w:val="0016521C"/>
    <w:rsid w:val="00192367"/>
    <w:rsid w:val="002034AF"/>
    <w:rsid w:val="00241340"/>
    <w:rsid w:val="00243622"/>
    <w:rsid w:val="00292F0C"/>
    <w:rsid w:val="002B3B6F"/>
    <w:rsid w:val="00373CD8"/>
    <w:rsid w:val="00373E5E"/>
    <w:rsid w:val="003F0D7E"/>
    <w:rsid w:val="00402039"/>
    <w:rsid w:val="00404D00"/>
    <w:rsid w:val="004051BC"/>
    <w:rsid w:val="00417EF9"/>
    <w:rsid w:val="00445199"/>
    <w:rsid w:val="004607DA"/>
    <w:rsid w:val="00481763"/>
    <w:rsid w:val="00497487"/>
    <w:rsid w:val="004A0C64"/>
    <w:rsid w:val="004E1229"/>
    <w:rsid w:val="004F72EF"/>
    <w:rsid w:val="005145A9"/>
    <w:rsid w:val="00676259"/>
    <w:rsid w:val="006950EE"/>
    <w:rsid w:val="006A22A5"/>
    <w:rsid w:val="006C340C"/>
    <w:rsid w:val="00766B6B"/>
    <w:rsid w:val="007A6301"/>
    <w:rsid w:val="007C5FB9"/>
    <w:rsid w:val="007E0B22"/>
    <w:rsid w:val="008030BF"/>
    <w:rsid w:val="00803C47"/>
    <w:rsid w:val="008052B7"/>
    <w:rsid w:val="0085057A"/>
    <w:rsid w:val="00872412"/>
    <w:rsid w:val="008837C3"/>
    <w:rsid w:val="008907BD"/>
    <w:rsid w:val="008E35C0"/>
    <w:rsid w:val="009211BE"/>
    <w:rsid w:val="00987220"/>
    <w:rsid w:val="00A10AB1"/>
    <w:rsid w:val="00AC59EA"/>
    <w:rsid w:val="00AC7D36"/>
    <w:rsid w:val="00AD396F"/>
    <w:rsid w:val="00AE6478"/>
    <w:rsid w:val="00B92E9A"/>
    <w:rsid w:val="00C71C39"/>
    <w:rsid w:val="00CC3E1C"/>
    <w:rsid w:val="00CD7CF7"/>
    <w:rsid w:val="00CE74ED"/>
    <w:rsid w:val="00D0763B"/>
    <w:rsid w:val="00D109C2"/>
    <w:rsid w:val="00D2583A"/>
    <w:rsid w:val="00D37901"/>
    <w:rsid w:val="00D64AEB"/>
    <w:rsid w:val="00DA0542"/>
    <w:rsid w:val="00DB327B"/>
    <w:rsid w:val="00DB41D9"/>
    <w:rsid w:val="00E171EB"/>
    <w:rsid w:val="00F25FA3"/>
    <w:rsid w:val="00FD6A07"/>
    <w:rsid w:val="00FF54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3BC59AC"/>
  <w15:chartTrackingRefBased/>
  <w15:docId w15:val="{BADD9C87-7D81-4B43-A66B-050E8495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360"/>
      <w:outlineLvl w:val="2"/>
    </w:pPr>
    <w:rPr>
      <w:b/>
      <w:i/>
      <w:sz w:val="28"/>
    </w:rPr>
  </w:style>
  <w:style w:type="paragraph" w:styleId="Heading4">
    <w:name w:val="heading 4"/>
    <w:basedOn w:val="Normal"/>
    <w:next w:val="Normal"/>
    <w:link w:val="Heading4Char"/>
    <w:semiHidden/>
    <w:unhideWhenUsed/>
    <w:qFormat/>
    <w:rsid w:val="0024134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jc w:val="center"/>
      <w:outlineLvl w:val="4"/>
    </w:pPr>
    <w:rPr>
      <w:bCs/>
      <w:i/>
      <w:i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mallCaps/>
    </w:rPr>
  </w:style>
  <w:style w:type="paragraph" w:styleId="Title">
    <w:name w:val="Title"/>
    <w:basedOn w:val="Normal"/>
    <w:qFormat/>
    <w:pPr>
      <w:jc w:val="center"/>
    </w:pPr>
    <w:rPr>
      <w:b/>
    </w:rPr>
  </w:style>
  <w:style w:type="character" w:styleId="Hyperlink">
    <w:name w:val="Hyperlink"/>
    <w:rPr>
      <w:color w:val="0000FF"/>
      <w:u w:val="single"/>
    </w:rPr>
  </w:style>
  <w:style w:type="paragraph" w:styleId="BalloonText">
    <w:name w:val="Balloon Text"/>
    <w:basedOn w:val="Normal"/>
    <w:link w:val="BalloonTextChar"/>
    <w:rsid w:val="00D64AEB"/>
    <w:rPr>
      <w:rFonts w:ascii="Tahoma" w:hAnsi="Tahoma" w:cs="Tahoma"/>
      <w:sz w:val="16"/>
      <w:szCs w:val="16"/>
    </w:rPr>
  </w:style>
  <w:style w:type="paragraph" w:customStyle="1" w:styleId="c1">
    <w:name w:val="c1"/>
    <w:basedOn w:val="Normal"/>
    <w:rsid w:val="00481763"/>
    <w:pPr>
      <w:widowControl w:val="0"/>
      <w:snapToGrid w:val="0"/>
      <w:spacing w:line="240" w:lineRule="atLeast"/>
      <w:jc w:val="center"/>
    </w:pPr>
  </w:style>
  <w:style w:type="character" w:customStyle="1" w:styleId="BalloonTextChar">
    <w:name w:val="Balloon Text Char"/>
    <w:link w:val="BalloonText"/>
    <w:rsid w:val="00292F0C"/>
    <w:rPr>
      <w:rFonts w:ascii="Tahoma" w:hAnsi="Tahoma" w:cs="Tahoma"/>
      <w:sz w:val="16"/>
      <w:szCs w:val="16"/>
    </w:rPr>
  </w:style>
  <w:style w:type="character" w:customStyle="1" w:styleId="Heading4Char">
    <w:name w:val="Heading 4 Char"/>
    <w:basedOn w:val="DefaultParagraphFont"/>
    <w:link w:val="Heading4"/>
    <w:semiHidden/>
    <w:rsid w:val="00241340"/>
    <w:rPr>
      <w:rFonts w:asciiTheme="majorHAnsi" w:eastAsiaTheme="majorEastAsia" w:hAnsiTheme="majorHAnsi" w:cstheme="majorBidi"/>
      <w:i/>
      <w:iCs/>
      <w:color w:val="2F5496"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2936">
      <w:bodyDiv w:val="1"/>
      <w:marLeft w:val="0"/>
      <w:marRight w:val="0"/>
      <w:marTop w:val="0"/>
      <w:marBottom w:val="0"/>
      <w:divBdr>
        <w:top w:val="none" w:sz="0" w:space="0" w:color="auto"/>
        <w:left w:val="none" w:sz="0" w:space="0" w:color="auto"/>
        <w:bottom w:val="none" w:sz="0" w:space="0" w:color="auto"/>
        <w:right w:val="none" w:sz="0" w:space="0" w:color="auto"/>
      </w:divBdr>
    </w:div>
    <w:div w:id="717363452">
      <w:bodyDiv w:val="1"/>
      <w:marLeft w:val="0"/>
      <w:marRight w:val="0"/>
      <w:marTop w:val="0"/>
      <w:marBottom w:val="0"/>
      <w:divBdr>
        <w:top w:val="none" w:sz="0" w:space="0" w:color="auto"/>
        <w:left w:val="none" w:sz="0" w:space="0" w:color="auto"/>
        <w:bottom w:val="none" w:sz="0" w:space="0" w:color="auto"/>
        <w:right w:val="none" w:sz="0" w:space="0" w:color="auto"/>
      </w:divBdr>
    </w:div>
    <w:div w:id="744030504">
      <w:bodyDiv w:val="1"/>
      <w:marLeft w:val="0"/>
      <w:marRight w:val="0"/>
      <w:marTop w:val="0"/>
      <w:marBottom w:val="0"/>
      <w:divBdr>
        <w:top w:val="none" w:sz="0" w:space="0" w:color="auto"/>
        <w:left w:val="none" w:sz="0" w:space="0" w:color="auto"/>
        <w:bottom w:val="none" w:sz="0" w:space="0" w:color="auto"/>
        <w:right w:val="none" w:sz="0" w:space="0" w:color="auto"/>
      </w:divBdr>
    </w:div>
    <w:div w:id="1160463332">
      <w:bodyDiv w:val="1"/>
      <w:marLeft w:val="0"/>
      <w:marRight w:val="0"/>
      <w:marTop w:val="0"/>
      <w:marBottom w:val="0"/>
      <w:divBdr>
        <w:top w:val="none" w:sz="0" w:space="0" w:color="auto"/>
        <w:left w:val="none" w:sz="0" w:space="0" w:color="auto"/>
        <w:bottom w:val="none" w:sz="0" w:space="0" w:color="auto"/>
        <w:right w:val="none" w:sz="0" w:space="0" w:color="auto"/>
      </w:divBdr>
    </w:div>
    <w:div w:id="18020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895</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Germans criminally prosecute for negligent infliction of bodily harm, for example, in traffic accidents</vt:lpstr>
    </vt:vector>
  </TitlesOfParts>
  <Company>USAF</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Germans criminally prosecute for negligent infliction of bodily harm, for example, in traffic accidents</dc:title>
  <dc:subject/>
  <dc:creator>US Air Force</dc:creator>
  <cp:keywords/>
  <cp:lastModifiedBy>FULTON, ZEN SSgt USAF PACAF 51 FW/JA</cp:lastModifiedBy>
  <cp:revision>9</cp:revision>
  <cp:lastPrinted>2019-01-31T18:49:00Z</cp:lastPrinted>
  <dcterms:created xsi:type="dcterms:W3CDTF">2022-10-25T11:46:00Z</dcterms:created>
  <dcterms:modified xsi:type="dcterms:W3CDTF">2025-08-11T02:21:00Z</dcterms:modified>
</cp:coreProperties>
</file>